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68989C" w14:textId="77777777" w:rsidR="00D42AFF" w:rsidRDefault="00D42AFF" w:rsidP="00D42AFF">
      <w:pPr>
        <w:pStyle w:val="1"/>
        <w:numPr>
          <w:ilvl w:val="0"/>
          <w:numId w:val="2"/>
        </w:numPr>
        <w:jc w:val="both"/>
      </w:pPr>
      <w:r>
        <w:t>BSUoS charges comprise the following costs:</w:t>
      </w:r>
    </w:p>
    <w:p w14:paraId="65B372CF" w14:textId="77777777" w:rsidR="00D42AFF" w:rsidRDefault="00D42AFF" w:rsidP="00D42AFF">
      <w:pPr>
        <w:pStyle w:val="1"/>
        <w:jc w:val="both"/>
      </w:pPr>
      <w:r>
        <w:t xml:space="preserve"> </w:t>
      </w:r>
    </w:p>
    <w:p w14:paraId="30485CBF" w14:textId="77777777" w:rsidR="00D42AFF" w:rsidRDefault="00D42AFF" w:rsidP="00D42AFF">
      <w:pPr>
        <w:numPr>
          <w:ilvl w:val="0"/>
          <w:numId w:val="1"/>
        </w:numPr>
        <w:tabs>
          <w:tab w:val="clear" w:pos="1440"/>
          <w:tab w:val="num" w:pos="2347"/>
        </w:tabs>
        <w:ind w:left="2347"/>
        <w:rPr>
          <w:rFonts w:ascii="Arial" w:hAnsi="Arial"/>
          <w:sz w:val="22"/>
        </w:rPr>
      </w:pPr>
      <w:r>
        <w:rPr>
          <w:rFonts w:ascii="Arial" w:hAnsi="Arial"/>
          <w:sz w:val="22"/>
        </w:rPr>
        <w:t>The Total Costs of the Balancing Mechanism</w:t>
      </w:r>
    </w:p>
    <w:p w14:paraId="631AD44A" w14:textId="77777777" w:rsidR="00D42AFF" w:rsidRPr="00FE60D3" w:rsidRDefault="00D42AFF" w:rsidP="00D42AFF">
      <w:pPr>
        <w:numPr>
          <w:ilvl w:val="0"/>
          <w:numId w:val="1"/>
        </w:numPr>
        <w:tabs>
          <w:tab w:val="clear" w:pos="1440"/>
          <w:tab w:val="num" w:pos="2347"/>
        </w:tabs>
        <w:ind w:left="2347"/>
        <w:rPr>
          <w:rFonts w:ascii="Arial" w:hAnsi="Arial"/>
          <w:sz w:val="22"/>
        </w:rPr>
      </w:pPr>
      <w:r w:rsidRPr="00FE60D3">
        <w:rPr>
          <w:rFonts w:ascii="Arial" w:hAnsi="Arial"/>
          <w:sz w:val="22"/>
        </w:rPr>
        <w:t>Total Balancing Services Contract costs</w:t>
      </w:r>
    </w:p>
    <w:p w14:paraId="174F10F9" w14:textId="77777777" w:rsidR="00D42AFF" w:rsidRPr="00FE60D3" w:rsidRDefault="00D42AFF" w:rsidP="00D42AFF">
      <w:pPr>
        <w:numPr>
          <w:ilvl w:val="0"/>
          <w:numId w:val="1"/>
        </w:numPr>
        <w:tabs>
          <w:tab w:val="clear" w:pos="1440"/>
          <w:tab w:val="num" w:pos="2347"/>
        </w:tabs>
        <w:ind w:left="2347"/>
        <w:rPr>
          <w:rFonts w:ascii="Arial" w:hAnsi="Arial"/>
          <w:sz w:val="22"/>
        </w:rPr>
      </w:pPr>
      <w:r w:rsidRPr="00FE60D3">
        <w:rPr>
          <w:rFonts w:ascii="Arial" w:hAnsi="Arial"/>
          <w:sz w:val="22"/>
        </w:rPr>
        <w:t>Payments/Receipts from</w:t>
      </w:r>
      <w:r>
        <w:rPr>
          <w:rFonts w:ascii="Arial" w:hAnsi="Arial"/>
          <w:sz w:val="22"/>
        </w:rPr>
        <w:t xml:space="preserve"> The Company’s</w:t>
      </w:r>
      <w:r w:rsidRPr="00FE60D3">
        <w:rPr>
          <w:rFonts w:ascii="Arial" w:hAnsi="Arial"/>
          <w:sz w:val="22"/>
        </w:rPr>
        <w:t xml:space="preserve"> incentive schemes</w:t>
      </w:r>
    </w:p>
    <w:p w14:paraId="4F4ADE1F" w14:textId="77777777" w:rsidR="00D42AFF" w:rsidRPr="00FE60D3" w:rsidRDefault="00D42AFF" w:rsidP="00D42AFF">
      <w:pPr>
        <w:numPr>
          <w:ilvl w:val="0"/>
          <w:numId w:val="1"/>
        </w:numPr>
        <w:tabs>
          <w:tab w:val="clear" w:pos="1440"/>
          <w:tab w:val="num" w:pos="2347"/>
        </w:tabs>
        <w:ind w:left="2347"/>
        <w:rPr>
          <w:rFonts w:ascii="Arial" w:hAnsi="Arial"/>
          <w:sz w:val="22"/>
        </w:rPr>
      </w:pPr>
      <w:r w:rsidRPr="00FE60D3">
        <w:rPr>
          <w:rFonts w:ascii="Arial" w:hAnsi="Arial"/>
          <w:sz w:val="22"/>
        </w:rPr>
        <w:t>Internal costs of operating the System</w:t>
      </w:r>
    </w:p>
    <w:p w14:paraId="063837E9" w14:textId="77777777" w:rsidR="00D42AFF" w:rsidRPr="00FE60D3" w:rsidRDefault="00D42AFF" w:rsidP="00D42AFF">
      <w:pPr>
        <w:numPr>
          <w:ilvl w:val="0"/>
          <w:numId w:val="1"/>
        </w:numPr>
        <w:tabs>
          <w:tab w:val="clear" w:pos="1440"/>
          <w:tab w:val="num" w:pos="2347"/>
        </w:tabs>
        <w:ind w:left="2347"/>
        <w:rPr>
          <w:rFonts w:ascii="Arial" w:hAnsi="Arial"/>
          <w:sz w:val="22"/>
        </w:rPr>
      </w:pPr>
      <w:r w:rsidRPr="00FE60D3">
        <w:rPr>
          <w:rFonts w:ascii="Arial" w:hAnsi="Arial"/>
          <w:sz w:val="22"/>
        </w:rPr>
        <w:t>Costs associated with contracting for and developing Balancing Services</w:t>
      </w:r>
    </w:p>
    <w:p w14:paraId="35C5A7A8" w14:textId="77777777" w:rsidR="00D42AFF" w:rsidRPr="00FE60D3" w:rsidRDefault="00D42AFF" w:rsidP="00D42AFF">
      <w:pPr>
        <w:numPr>
          <w:ilvl w:val="0"/>
          <w:numId w:val="1"/>
        </w:numPr>
        <w:tabs>
          <w:tab w:val="clear" w:pos="1440"/>
          <w:tab w:val="num" w:pos="2347"/>
        </w:tabs>
        <w:ind w:left="2347"/>
        <w:rPr>
          <w:rFonts w:ascii="Arial" w:hAnsi="Arial"/>
          <w:sz w:val="22"/>
        </w:rPr>
      </w:pPr>
      <w:r w:rsidRPr="00FE60D3">
        <w:rPr>
          <w:rFonts w:ascii="Arial" w:hAnsi="Arial"/>
          <w:sz w:val="22"/>
        </w:rPr>
        <w:t>Adjustments</w:t>
      </w:r>
    </w:p>
    <w:p w14:paraId="7ABDB2D7" w14:textId="77777777" w:rsidR="00D42AFF" w:rsidRDefault="00D42AFF" w:rsidP="00D42AFF">
      <w:pPr>
        <w:numPr>
          <w:ilvl w:val="0"/>
          <w:numId w:val="1"/>
        </w:numPr>
        <w:tabs>
          <w:tab w:val="clear" w:pos="1440"/>
          <w:tab w:val="num" w:pos="2347"/>
        </w:tabs>
        <w:ind w:left="2347"/>
        <w:rPr>
          <w:rFonts w:ascii="Arial" w:hAnsi="Arial"/>
          <w:sz w:val="22"/>
        </w:rPr>
      </w:pPr>
      <w:r>
        <w:rPr>
          <w:rFonts w:ascii="Arial" w:hAnsi="Arial"/>
          <w:sz w:val="22"/>
        </w:rPr>
        <w:t>Costs invoiced to The Company associated with Manifest Errors and Special Provisions.</w:t>
      </w:r>
    </w:p>
    <w:p w14:paraId="5A82E800" w14:textId="77777777" w:rsidR="00D42AFF" w:rsidRDefault="00D42AFF" w:rsidP="00D42AFF">
      <w:pPr>
        <w:numPr>
          <w:ilvl w:val="0"/>
          <w:numId w:val="1"/>
        </w:numPr>
        <w:tabs>
          <w:tab w:val="clear" w:pos="1440"/>
          <w:tab w:val="num" w:pos="2347"/>
        </w:tabs>
        <w:ind w:left="2347"/>
        <w:rPr>
          <w:rFonts w:ascii="Arial" w:hAnsi="Arial"/>
          <w:sz w:val="22"/>
        </w:rPr>
      </w:pPr>
      <w:r w:rsidRPr="00CF4B8F">
        <w:rPr>
          <w:rFonts w:ascii="Arial" w:hAnsi="Arial"/>
          <w:sz w:val="22"/>
        </w:rPr>
        <w:t>BETTA implementation costs</w:t>
      </w:r>
    </w:p>
    <w:p w14:paraId="6B0B389D" w14:textId="77777777" w:rsidR="00D42AFF" w:rsidRDefault="00D42AFF" w:rsidP="00D42AFF">
      <w:pPr>
        <w:numPr>
          <w:ilvl w:val="0"/>
          <w:numId w:val="1"/>
        </w:numPr>
        <w:tabs>
          <w:tab w:val="clear" w:pos="1440"/>
          <w:tab w:val="num" w:pos="2347"/>
        </w:tabs>
        <w:ind w:left="2347"/>
        <w:rPr>
          <w:rFonts w:ascii="Arial" w:hAnsi="Arial"/>
          <w:sz w:val="22"/>
        </w:rPr>
      </w:pPr>
      <w:r w:rsidRPr="000164D4">
        <w:rPr>
          <w:rFonts w:ascii="Arial" w:hAnsi="Arial"/>
          <w:sz w:val="22"/>
        </w:rPr>
        <w:t xml:space="preserve">Financing and administrative costs, as agreed by The Authority, associated with the management of the </w:t>
      </w:r>
      <w:proofErr w:type="spellStart"/>
      <w:r w:rsidRPr="000164D4">
        <w:rPr>
          <w:rFonts w:ascii="Arial" w:hAnsi="Arial"/>
          <w:sz w:val="22"/>
        </w:rPr>
        <w:t>Covid</w:t>
      </w:r>
      <w:proofErr w:type="spellEnd"/>
      <w:r w:rsidRPr="000164D4">
        <w:rPr>
          <w:rFonts w:ascii="Arial" w:hAnsi="Arial"/>
          <w:sz w:val="22"/>
        </w:rPr>
        <w:t xml:space="preserve"> Support Scheme in 14.30.12</w:t>
      </w:r>
    </w:p>
    <w:p w14:paraId="2887DF77" w14:textId="77777777" w:rsidR="00D42AFF" w:rsidRPr="002D3BA5" w:rsidRDefault="00D42AFF" w:rsidP="00D42AFF">
      <w:pPr>
        <w:numPr>
          <w:ilvl w:val="0"/>
          <w:numId w:val="1"/>
        </w:numPr>
        <w:tabs>
          <w:tab w:val="clear" w:pos="1440"/>
          <w:tab w:val="num" w:pos="2347"/>
        </w:tabs>
        <w:ind w:left="2347"/>
        <w:rPr>
          <w:rFonts w:ascii="Arial" w:hAnsi="Arial"/>
          <w:color w:val="2F5496" w:themeColor="accent1" w:themeShade="BF"/>
          <w:sz w:val="22"/>
        </w:rPr>
      </w:pPr>
      <w:r w:rsidRPr="002D3BA5">
        <w:rPr>
          <w:rFonts w:ascii="Arial" w:hAnsi="Arial"/>
          <w:color w:val="2F5496" w:themeColor="accent1" w:themeShade="BF"/>
          <w:sz w:val="22"/>
        </w:rPr>
        <w:t>Financing costs associated with the Fixed BSUoS Price</w:t>
      </w:r>
    </w:p>
    <w:p w14:paraId="7F949897" w14:textId="77777777" w:rsidR="00D42AFF" w:rsidRDefault="00D42AFF" w:rsidP="00D42AFF">
      <w:pPr>
        <w:pStyle w:val="Date"/>
        <w:ind w:left="907"/>
      </w:pPr>
    </w:p>
    <w:p w14:paraId="02AEDA30" w14:textId="77777777" w:rsidR="00D42AFF" w:rsidRDefault="00D42AFF" w:rsidP="00D42AFF">
      <w:pPr>
        <w:pStyle w:val="Heading1"/>
        <w:ind w:left="709"/>
        <w:rPr>
          <w:rFonts w:ascii="Arial" w:hAnsi="Arial" w:cs="Arial"/>
          <w:b w:val="0"/>
          <w:sz w:val="22"/>
          <w:szCs w:val="22"/>
        </w:rPr>
      </w:pPr>
      <w:r w:rsidRPr="007B71A5">
        <w:rPr>
          <w:rFonts w:ascii="Arial" w:hAnsi="Arial" w:cs="Arial"/>
          <w:b w:val="0"/>
          <w:sz w:val="22"/>
          <w:szCs w:val="22"/>
        </w:rPr>
        <w:t>14.29.6</w:t>
      </w:r>
      <w:r>
        <w:rPr>
          <w:rFonts w:ascii="Arial" w:hAnsi="Arial" w:cs="Arial"/>
          <w:b w:val="0"/>
          <w:sz w:val="22"/>
          <w:szCs w:val="22"/>
        </w:rPr>
        <w:tab/>
        <w:t>BSUoS charges are calculated and levied on a fixed price £/MWh (the “Fixed BSUoS Price”) per Settlement Period basis for two consecutive periods of six months (“the Fixed Price Period”) and notified to users three months in advance.</w:t>
      </w:r>
      <w:r w:rsidRPr="004B4E26">
        <w:t xml:space="preserve"> </w:t>
      </w:r>
      <w:r w:rsidRPr="007B71A5">
        <w:rPr>
          <w:rFonts w:ascii="Arial" w:hAnsi="Arial" w:cs="Arial"/>
          <w:b w:val="0"/>
          <w:sz w:val="22"/>
          <w:szCs w:val="22"/>
        </w:rPr>
        <w:t xml:space="preserve">The Fixed BSUoS Price will be applied to each </w:t>
      </w:r>
      <w:r>
        <w:rPr>
          <w:rFonts w:ascii="Arial" w:hAnsi="Arial" w:cs="Arial"/>
          <w:b w:val="0"/>
          <w:sz w:val="22"/>
          <w:szCs w:val="22"/>
        </w:rPr>
        <w:t xml:space="preserve">BSUoS Liable </w:t>
      </w:r>
      <w:r w:rsidRPr="007B71A5">
        <w:rPr>
          <w:rFonts w:ascii="Arial" w:hAnsi="Arial" w:cs="Arial"/>
          <w:b w:val="0"/>
          <w:sz w:val="22"/>
          <w:szCs w:val="22"/>
        </w:rPr>
        <w:t>User</w:t>
      </w:r>
      <w:r w:rsidRPr="007B71A5">
        <w:rPr>
          <w:rFonts w:ascii="Arial" w:hAnsi="Arial" w:cs="Arial" w:hint="eastAsia"/>
          <w:b w:val="0"/>
          <w:sz w:val="22"/>
          <w:szCs w:val="22"/>
        </w:rPr>
        <w:t>’</w:t>
      </w:r>
      <w:r w:rsidRPr="007B71A5">
        <w:rPr>
          <w:rFonts w:ascii="Arial" w:hAnsi="Arial" w:cs="Arial"/>
          <w:b w:val="0"/>
          <w:sz w:val="22"/>
          <w:szCs w:val="22"/>
        </w:rPr>
        <w:t xml:space="preserve">s actual metered volumes (including all relevant losses) to derive that </w:t>
      </w:r>
      <w:r>
        <w:rPr>
          <w:rFonts w:ascii="Arial" w:hAnsi="Arial" w:cs="Arial"/>
          <w:b w:val="0"/>
          <w:sz w:val="22"/>
          <w:szCs w:val="22"/>
        </w:rPr>
        <w:t xml:space="preserve">BSUoS Liable </w:t>
      </w:r>
      <w:r w:rsidRPr="007B71A5">
        <w:rPr>
          <w:rFonts w:ascii="Arial" w:hAnsi="Arial" w:cs="Arial"/>
          <w:b w:val="0"/>
          <w:sz w:val="22"/>
          <w:szCs w:val="22"/>
        </w:rPr>
        <w:t>User</w:t>
      </w:r>
      <w:r w:rsidRPr="007B71A5">
        <w:rPr>
          <w:rFonts w:ascii="Arial" w:hAnsi="Arial" w:cs="Arial" w:hint="eastAsia"/>
          <w:b w:val="0"/>
          <w:sz w:val="22"/>
          <w:szCs w:val="22"/>
        </w:rPr>
        <w:t>’</w:t>
      </w:r>
      <w:r w:rsidRPr="007B71A5">
        <w:rPr>
          <w:rFonts w:ascii="Arial" w:hAnsi="Arial" w:cs="Arial"/>
          <w:b w:val="0"/>
          <w:sz w:val="22"/>
          <w:szCs w:val="22"/>
        </w:rPr>
        <w:t>s BSUoS charge</w:t>
      </w:r>
      <w:r>
        <w:rPr>
          <w:rFonts w:ascii="Arial" w:hAnsi="Arial" w:cs="Arial"/>
          <w:b w:val="0"/>
          <w:sz w:val="22"/>
          <w:szCs w:val="22"/>
        </w:rPr>
        <w:t>.</w:t>
      </w:r>
    </w:p>
    <w:p w14:paraId="08F50456" w14:textId="77777777" w:rsidR="00D42AFF" w:rsidRDefault="00D42AFF" w:rsidP="00D42AFF">
      <w:pPr>
        <w:pStyle w:val="Heading1"/>
        <w:ind w:left="709"/>
        <w:rPr>
          <w:rFonts w:ascii="Arial" w:hAnsi="Arial" w:cs="Arial"/>
          <w:b w:val="0"/>
          <w:sz w:val="22"/>
          <w:szCs w:val="22"/>
        </w:rPr>
      </w:pPr>
    </w:p>
    <w:p w14:paraId="3AB400C1" w14:textId="77777777" w:rsidR="00D42AFF" w:rsidRDefault="00D42AFF" w:rsidP="00D42AFF">
      <w:pPr>
        <w:pStyle w:val="Heading1"/>
        <w:ind w:left="709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14.29.7</w:t>
      </w:r>
      <w:r>
        <w:rPr>
          <w:rFonts w:ascii="Arial" w:hAnsi="Arial" w:cs="Arial"/>
          <w:b w:val="0"/>
          <w:sz w:val="22"/>
          <w:szCs w:val="22"/>
        </w:rPr>
        <w:tab/>
      </w:r>
      <w:r w:rsidRPr="007B71A5">
        <w:rPr>
          <w:rFonts w:ascii="Arial" w:hAnsi="Arial" w:cs="Arial"/>
          <w:b w:val="0"/>
          <w:sz w:val="22"/>
          <w:szCs w:val="22"/>
        </w:rPr>
        <w:t xml:space="preserve">Any over or under recovery during a Fixed Price Period will be included in the calculation of the Fixed BSUoS Price </w:t>
      </w:r>
      <w:r w:rsidRPr="007B71A5">
        <w:rPr>
          <w:rFonts w:ascii="Arial" w:hAnsi="Arial" w:cs="Arial" w:hint="eastAsia"/>
          <w:b w:val="0"/>
          <w:sz w:val="22"/>
          <w:szCs w:val="22"/>
        </w:rPr>
        <w:t>£</w:t>
      </w:r>
      <w:r w:rsidRPr="007B71A5">
        <w:rPr>
          <w:rFonts w:ascii="Arial" w:hAnsi="Arial" w:cs="Arial"/>
          <w:b w:val="0"/>
          <w:sz w:val="22"/>
          <w:szCs w:val="22"/>
        </w:rPr>
        <w:t>/MWh for the next available Fixed Price Period</w:t>
      </w:r>
      <w:r>
        <w:rPr>
          <w:rFonts w:ascii="Arial" w:hAnsi="Arial" w:cs="Arial"/>
          <w:b w:val="0"/>
          <w:sz w:val="22"/>
          <w:szCs w:val="22"/>
        </w:rPr>
        <w:t>.</w:t>
      </w:r>
    </w:p>
    <w:p w14:paraId="268DCEB6" w14:textId="77777777" w:rsidR="00D42AFF" w:rsidRDefault="00D42AFF" w:rsidP="00D42AFF">
      <w:pPr>
        <w:pStyle w:val="Heading1"/>
        <w:ind w:left="709"/>
        <w:rPr>
          <w:rFonts w:ascii="Arial" w:hAnsi="Arial" w:cs="Arial"/>
          <w:b w:val="0"/>
          <w:sz w:val="22"/>
          <w:szCs w:val="22"/>
        </w:rPr>
      </w:pPr>
    </w:p>
    <w:p w14:paraId="293FE82C" w14:textId="77777777" w:rsidR="00D42AFF" w:rsidRDefault="00D42AFF" w:rsidP="00D42AFF">
      <w:pPr>
        <w:pStyle w:val="Heading1"/>
        <w:ind w:left="709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14.29.8 This methodology is divided into three sections: </w:t>
      </w:r>
    </w:p>
    <w:p w14:paraId="13BAA17A" w14:textId="77777777" w:rsidR="00D42AFF" w:rsidRDefault="00D42AFF" w:rsidP="00D42AFF">
      <w:pPr>
        <w:pStyle w:val="Heading1"/>
        <w:ind w:left="709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Definition of the BSUoS liable user (who pays BSUoS)</w:t>
      </w:r>
    </w:p>
    <w:p w14:paraId="79D16F5A" w14:textId="77777777" w:rsidR="00D42AFF" w:rsidRPr="000A7C50" w:rsidRDefault="00D42AFF" w:rsidP="00D42AFF">
      <w:pPr>
        <w:ind w:firstLine="709"/>
        <w:rPr>
          <w:b/>
        </w:rPr>
      </w:pPr>
      <w:r>
        <w:rPr>
          <w:rFonts w:ascii="Arial" w:hAnsi="Arial" w:cs="Arial"/>
          <w:color w:val="000080"/>
          <w:sz w:val="22"/>
          <w:szCs w:val="22"/>
          <w:lang w:eastAsia="en-US"/>
        </w:rPr>
        <w:t>Calculation of the Fixed BSUoS Tariff</w:t>
      </w:r>
    </w:p>
    <w:p w14:paraId="72A9CC13" w14:textId="77777777" w:rsidR="00D42AFF" w:rsidRDefault="00D42AFF" w:rsidP="00D42AFF">
      <w:pPr>
        <w:pStyle w:val="Heading1"/>
        <w:tabs>
          <w:tab w:val="clear" w:pos="810"/>
          <w:tab w:val="left" w:pos="709"/>
        </w:tabs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  <w:t>Calculation of a BSUoS Liable User’s Daily BSUoS Charge (how much)</w:t>
      </w:r>
    </w:p>
    <w:p w14:paraId="7706E2D2" w14:textId="77777777" w:rsidR="00D42AFF" w:rsidRDefault="00D42AFF" w:rsidP="00D42AFF">
      <w:pPr>
        <w:rPr>
          <w:lang w:eastAsia="en-US"/>
        </w:rPr>
      </w:pPr>
    </w:p>
    <w:p w14:paraId="5E387E1C" w14:textId="77777777" w:rsidR="00D42AFF" w:rsidRPr="00D42AFF" w:rsidRDefault="00D42AFF" w:rsidP="00D42AFF">
      <w:pPr>
        <w:pStyle w:val="Heading2"/>
        <w:rPr>
          <w:rFonts w:ascii="Arial Bold" w:hAnsi="Arial Bold"/>
          <w:sz w:val="24"/>
          <w:szCs w:val="24"/>
        </w:rPr>
      </w:pPr>
      <w:r w:rsidRPr="00D42AFF">
        <w:rPr>
          <w:rFonts w:ascii="Arial Bold" w:hAnsi="Arial Bold"/>
          <w:sz w:val="24"/>
          <w:szCs w:val="24"/>
        </w:rPr>
        <w:t>Calculation of a Fixed BSUoS Tariff</w:t>
      </w:r>
    </w:p>
    <w:p w14:paraId="384AE0B3" w14:textId="77777777" w:rsidR="00D42AFF" w:rsidRDefault="00D42AFF" w:rsidP="00D42AFF"/>
    <w:p w14:paraId="2B9AF56A" w14:textId="77777777" w:rsidR="00D42AFF" w:rsidRDefault="00D42AFF" w:rsidP="00D42AFF">
      <w:pPr>
        <w:ind w:left="2835" w:hanging="2126"/>
        <w:jc w:val="both"/>
        <w:rPr>
          <w:rFonts w:ascii="Arial" w:hAnsi="Arial"/>
          <w:sz w:val="22"/>
        </w:rPr>
      </w:pPr>
    </w:p>
    <w:p w14:paraId="72C5BACC" w14:textId="77777777" w:rsidR="00D42AFF" w:rsidRPr="00D42AFF" w:rsidRDefault="00D42AFF" w:rsidP="00D42AFF">
      <w:pPr>
        <w:pStyle w:val="1"/>
        <w:numPr>
          <w:ilvl w:val="0"/>
          <w:numId w:val="3"/>
        </w:numPr>
        <w:jc w:val="both"/>
        <w:rPr>
          <w:color w:val="2F5496" w:themeColor="accent1" w:themeShade="BF"/>
        </w:rPr>
      </w:pPr>
      <w:r w:rsidRPr="00D42AFF">
        <w:rPr>
          <w:color w:val="2F5496" w:themeColor="accent1" w:themeShade="BF"/>
        </w:rPr>
        <w:t>The BSUoS tariff for each settlement day is calculated by the following formula:</w:t>
      </w:r>
    </w:p>
    <w:p w14:paraId="269C1567" w14:textId="77777777" w:rsidR="00D42AFF" w:rsidRPr="00D42AFF" w:rsidRDefault="00D42AFF" w:rsidP="00D42AFF">
      <w:pPr>
        <w:pStyle w:val="1"/>
        <w:ind w:left="1627"/>
        <w:jc w:val="both"/>
        <w:rPr>
          <w:color w:val="2F5496" w:themeColor="accent1" w:themeShade="BF"/>
        </w:rPr>
      </w:pPr>
    </w:p>
    <w:p w14:paraId="4CEDDC78" w14:textId="77777777" w:rsidR="00D42AFF" w:rsidRPr="00D42AFF" w:rsidRDefault="00D42AFF" w:rsidP="00D42AFF">
      <w:pPr>
        <w:pStyle w:val="1"/>
        <w:ind w:left="1627"/>
        <w:jc w:val="both"/>
        <w:rPr>
          <w:color w:val="2F5496" w:themeColor="accent1" w:themeShade="BF"/>
        </w:rPr>
      </w:pPr>
      <w:r w:rsidRPr="00D42AFF">
        <w:rPr>
          <w:noProof/>
          <w:color w:val="2F5496" w:themeColor="accent1" w:themeShade="BF"/>
        </w:rPr>
        <w:drawing>
          <wp:inline distT="0" distB="0" distL="0" distR="0" wp14:anchorId="408F6641" wp14:editId="5852A407">
            <wp:extent cx="2765425" cy="676290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05732" cy="686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2FCF71" w14:textId="77777777" w:rsidR="00D42AFF" w:rsidRPr="00D42AFF" w:rsidRDefault="00D42AFF" w:rsidP="00D42AFF">
      <w:pPr>
        <w:pStyle w:val="1"/>
        <w:ind w:left="1627"/>
        <w:jc w:val="both"/>
        <w:rPr>
          <w:color w:val="2F5496" w:themeColor="accent1" w:themeShade="BF"/>
        </w:rPr>
      </w:pPr>
    </w:p>
    <w:p w14:paraId="313618D0" w14:textId="77777777" w:rsidR="00D42AFF" w:rsidRPr="00D42AFF" w:rsidRDefault="00D42AFF" w:rsidP="00D42AFF">
      <w:pPr>
        <w:ind w:left="1440"/>
        <w:jc w:val="both"/>
        <w:rPr>
          <w:rFonts w:ascii="Arial" w:hAnsi="Arial"/>
          <w:color w:val="2F5496" w:themeColor="accent1" w:themeShade="BF"/>
          <w:sz w:val="22"/>
        </w:rPr>
      </w:pPr>
      <w:r w:rsidRPr="00D42AFF">
        <w:rPr>
          <w:rFonts w:ascii="Arial" w:hAnsi="Arial"/>
          <w:color w:val="2F5496" w:themeColor="accent1" w:themeShade="BF"/>
          <w:sz w:val="22"/>
        </w:rPr>
        <w:t>Where:</w:t>
      </w:r>
    </w:p>
    <w:p w14:paraId="0362B996" w14:textId="77777777" w:rsidR="00D42AFF" w:rsidRPr="00D42AFF" w:rsidRDefault="00D42AFF" w:rsidP="00D42AFF">
      <w:pPr>
        <w:ind w:left="1440"/>
        <w:jc w:val="both"/>
        <w:rPr>
          <w:rFonts w:ascii="Arial" w:hAnsi="Arial" w:cs="Arial"/>
          <w:color w:val="2F5496" w:themeColor="accent1" w:themeShade="BF"/>
          <w:kern w:val="24"/>
          <w:sz w:val="22"/>
          <w:szCs w:val="22"/>
        </w:rPr>
      </w:pPr>
      <w:proofErr w:type="spellStart"/>
      <w:r w:rsidRPr="00D42AFF">
        <w:rPr>
          <w:rFonts w:ascii="Arial" w:hAnsi="Arial" w:cs="Arial"/>
          <w:color w:val="2F5496" w:themeColor="accent1" w:themeShade="BF"/>
          <w:kern w:val="24"/>
          <w:sz w:val="22"/>
          <w:szCs w:val="22"/>
        </w:rPr>
        <w:t>BSUoStariff</w:t>
      </w:r>
      <w:proofErr w:type="spellEnd"/>
      <w:r w:rsidRPr="00D42AFF">
        <w:rPr>
          <w:rFonts w:ascii="Arial" w:hAnsi="Arial" w:cs="Arial"/>
          <w:color w:val="2F5496" w:themeColor="accent1" w:themeShade="BF"/>
          <w:kern w:val="24"/>
          <w:sz w:val="22"/>
          <w:szCs w:val="22"/>
        </w:rPr>
        <w:t xml:space="preserve"> - </w:t>
      </w:r>
      <w:r w:rsidRPr="00D42AFF">
        <w:rPr>
          <w:rFonts w:ascii="Arial" w:hAnsi="Arial" w:cs="Arial"/>
          <w:color w:val="2F5496" w:themeColor="accent1" w:themeShade="BF"/>
        </w:rPr>
        <w:t>Fixed BSUoS Price £/MWh for the Fixed Price Period t</w:t>
      </w:r>
    </w:p>
    <w:p w14:paraId="7D7650AF" w14:textId="77777777" w:rsidR="00D42AFF" w:rsidRPr="00D42AFF" w:rsidRDefault="00D42AFF" w:rsidP="00D42AFF">
      <w:pPr>
        <w:ind w:left="1440"/>
        <w:jc w:val="both"/>
        <w:rPr>
          <w:rFonts w:ascii="Arial" w:hAnsi="Arial" w:cs="Arial"/>
          <w:color w:val="2F5496" w:themeColor="accent1" w:themeShade="BF"/>
          <w:sz w:val="22"/>
          <w:szCs w:val="22"/>
        </w:rPr>
      </w:pPr>
      <w:proofErr w:type="spellStart"/>
      <w:r w:rsidRPr="00D42AFF">
        <w:rPr>
          <w:rFonts w:ascii="Arial" w:hAnsi="Arial" w:cs="Arial"/>
          <w:color w:val="2F5496" w:themeColor="accent1" w:themeShade="BF"/>
          <w:kern w:val="24"/>
          <w:sz w:val="22"/>
          <w:szCs w:val="22"/>
        </w:rPr>
        <w:t>FcBSUoSTOT</w:t>
      </w:r>
      <w:proofErr w:type="spellEnd"/>
      <w:r w:rsidRPr="00D42AFF">
        <w:rPr>
          <w:rFonts w:ascii="Arial" w:hAnsi="Arial" w:cs="Arial"/>
          <w:color w:val="2F5496" w:themeColor="accent1" w:themeShade="BF"/>
          <w:sz w:val="22"/>
        </w:rPr>
        <w:t xml:space="preserve"> - </w:t>
      </w:r>
      <w:r w:rsidRPr="00D42AFF">
        <w:rPr>
          <w:rFonts w:ascii="Arial" w:hAnsi="Arial" w:cs="Arial"/>
          <w:color w:val="2F5496" w:themeColor="accent1" w:themeShade="BF"/>
        </w:rPr>
        <w:t xml:space="preserve">Forecast Total BSUoS Revenue applicable for Fixed Price Period t including all forecast </w:t>
      </w:r>
      <w:proofErr w:type="spellStart"/>
      <w:r w:rsidRPr="00D42AFF">
        <w:rPr>
          <w:rFonts w:ascii="Arial" w:hAnsi="Arial" w:cs="Arial"/>
          <w:color w:val="2F5496" w:themeColor="accent1" w:themeShade="BF"/>
        </w:rPr>
        <w:t>BSUoSExt</w:t>
      </w:r>
      <w:proofErr w:type="spellEnd"/>
      <w:r w:rsidRPr="00D42AFF">
        <w:rPr>
          <w:rFonts w:ascii="Arial" w:hAnsi="Arial" w:cs="Arial"/>
          <w:color w:val="2F5496" w:themeColor="accent1" w:themeShade="BF"/>
        </w:rPr>
        <w:t xml:space="preserve"> and </w:t>
      </w:r>
      <w:proofErr w:type="spellStart"/>
      <w:r w:rsidRPr="00D42AFF">
        <w:rPr>
          <w:rFonts w:ascii="Arial" w:hAnsi="Arial" w:cs="Arial"/>
          <w:color w:val="2F5496" w:themeColor="accent1" w:themeShade="BF"/>
        </w:rPr>
        <w:t>BSUoSInt</w:t>
      </w:r>
      <w:proofErr w:type="spellEnd"/>
      <w:r w:rsidRPr="00D42AFF">
        <w:rPr>
          <w:rFonts w:ascii="Arial" w:hAnsi="Arial" w:cs="Arial"/>
          <w:color w:val="2F5496" w:themeColor="accent1" w:themeShade="BF"/>
        </w:rPr>
        <w:t xml:space="preserve"> costs as per paragraph 14.29.5 </w:t>
      </w:r>
    </w:p>
    <w:p w14:paraId="3F023552" w14:textId="77777777" w:rsidR="00D42AFF" w:rsidRPr="00D42AFF" w:rsidRDefault="00D42AFF" w:rsidP="00D42AFF">
      <w:pPr>
        <w:ind w:left="1440"/>
        <w:jc w:val="both"/>
        <w:rPr>
          <w:rFonts w:ascii="Arial" w:hAnsi="Arial" w:cs="Arial"/>
          <w:color w:val="2F5496" w:themeColor="accent1" w:themeShade="BF"/>
        </w:rPr>
      </w:pPr>
      <w:r w:rsidRPr="00D42AFF">
        <w:rPr>
          <w:rFonts w:ascii="Arial" w:hAnsi="Arial" w:cs="Arial"/>
          <w:color w:val="2F5496" w:themeColor="accent1" w:themeShade="BF"/>
          <w:sz w:val="22"/>
        </w:rPr>
        <w:t>KB</w:t>
      </w:r>
      <w:r w:rsidRPr="00D42AFF">
        <w:rPr>
          <w:rFonts w:ascii="Arial" w:hAnsi="Arial" w:cs="Arial"/>
          <w:color w:val="2F5496" w:themeColor="accent1" w:themeShade="BF"/>
          <w:sz w:val="22"/>
          <w:vertAlign w:val="subscript"/>
        </w:rPr>
        <w:t xml:space="preserve"> t-x </w:t>
      </w:r>
      <w:r w:rsidRPr="00D42AFF">
        <w:rPr>
          <w:rFonts w:ascii="Arial" w:hAnsi="Arial" w:cs="Arial"/>
          <w:color w:val="2F5496" w:themeColor="accent1" w:themeShade="BF"/>
        </w:rPr>
        <w:t xml:space="preserve">Adjustment for any difference between the </w:t>
      </w:r>
      <w:proofErr w:type="spellStart"/>
      <w:r w:rsidRPr="00D42AFF">
        <w:rPr>
          <w:rFonts w:ascii="Arial" w:hAnsi="Arial" w:cs="Arial"/>
          <w:color w:val="2F5496" w:themeColor="accent1" w:themeShade="BF"/>
        </w:rPr>
        <w:t>BSUoStariff</w:t>
      </w:r>
      <w:proofErr w:type="spellEnd"/>
      <w:r w:rsidRPr="00D42AFF">
        <w:rPr>
          <w:rFonts w:ascii="Arial" w:hAnsi="Arial" w:cs="Arial"/>
          <w:color w:val="2F5496" w:themeColor="accent1" w:themeShade="BF"/>
        </w:rPr>
        <w:t xml:space="preserve"> and the actual Total BSUoS costs incurred by The Company in a previous period t-x</w:t>
      </w:r>
    </w:p>
    <w:p w14:paraId="52C46C6B" w14:textId="77777777" w:rsidR="00D42AFF" w:rsidRPr="00D42AFF" w:rsidRDefault="00D42AFF" w:rsidP="00D42AFF">
      <w:pPr>
        <w:ind w:left="1440"/>
        <w:jc w:val="both"/>
        <w:rPr>
          <w:rFonts w:ascii="Arial" w:hAnsi="Arial" w:cs="Arial"/>
          <w:color w:val="2F5496" w:themeColor="accent1" w:themeShade="BF"/>
          <w:sz w:val="22"/>
        </w:rPr>
      </w:pPr>
      <w:r w:rsidRPr="00D42AFF">
        <w:rPr>
          <w:rFonts w:ascii="Arial" w:hAnsi="Arial" w:cs="Arial"/>
          <w:color w:val="2F5496" w:themeColor="accent1" w:themeShade="BF"/>
        </w:rPr>
        <w:t xml:space="preserve">CF – cost of finance incurred through The Company providing a working capital facility </w:t>
      </w:r>
    </w:p>
    <w:p w14:paraId="548038B6" w14:textId="77777777" w:rsidR="00D42AFF" w:rsidRPr="00EA68B4" w:rsidRDefault="00D42AFF" w:rsidP="00D42AFF">
      <w:pPr>
        <w:ind w:left="1440"/>
        <w:jc w:val="both"/>
        <w:rPr>
          <w:rFonts w:ascii="Arial" w:hAnsi="Arial" w:cs="Arial"/>
          <w:color w:val="4472C4" w:themeColor="accent1"/>
          <w:sz w:val="22"/>
        </w:rPr>
      </w:pPr>
      <w:proofErr w:type="spellStart"/>
      <w:r w:rsidRPr="00EA68B4">
        <w:rPr>
          <w:rFonts w:ascii="Arial" w:hAnsi="Arial" w:cs="Arial"/>
          <w:color w:val="4472C4" w:themeColor="accent1"/>
          <w:sz w:val="22"/>
        </w:rPr>
        <w:lastRenderedPageBreak/>
        <w:t>FcTQM</w:t>
      </w:r>
      <w:proofErr w:type="spellEnd"/>
      <w:r w:rsidRPr="00EA68B4">
        <w:rPr>
          <w:rFonts w:ascii="Arial" w:hAnsi="Arial" w:cs="Arial"/>
          <w:color w:val="4472C4" w:themeColor="accent1"/>
          <w:sz w:val="22"/>
          <w:vertAlign w:val="subscript"/>
        </w:rPr>
        <w:t xml:space="preserve"> j</w:t>
      </w:r>
      <w:r w:rsidRPr="00EA68B4">
        <w:rPr>
          <w:rFonts w:ascii="Arial" w:hAnsi="Arial" w:cs="Arial"/>
          <w:color w:val="4472C4" w:themeColor="accent1"/>
          <w:sz w:val="22"/>
        </w:rPr>
        <w:t xml:space="preserve"> – refers to the forecast of the total Transmission Connected </w:t>
      </w:r>
      <w:bookmarkStart w:id="0" w:name="_GoBack"/>
      <w:bookmarkEnd w:id="0"/>
      <w:r w:rsidRPr="00EA68B4">
        <w:rPr>
          <w:rFonts w:ascii="Arial" w:hAnsi="Arial" w:cs="Arial"/>
          <w:color w:val="4472C4" w:themeColor="accent1"/>
          <w:sz w:val="22"/>
        </w:rPr>
        <w:t>Site BM Unit Metered Volume for Settlement Period j</w:t>
      </w:r>
    </w:p>
    <w:p w14:paraId="560C70E9" w14:textId="77777777" w:rsidR="00D42AFF" w:rsidRPr="00EA68B4" w:rsidRDefault="00D42AFF" w:rsidP="00D42AFF">
      <w:pPr>
        <w:ind w:left="1440"/>
        <w:jc w:val="both"/>
        <w:rPr>
          <w:rFonts w:ascii="Arial" w:hAnsi="Arial" w:cs="Arial"/>
          <w:color w:val="4472C4" w:themeColor="accent1"/>
          <w:sz w:val="22"/>
        </w:rPr>
      </w:pPr>
      <w:proofErr w:type="spellStart"/>
      <w:r w:rsidRPr="00EA68B4">
        <w:rPr>
          <w:rFonts w:ascii="Arial" w:hAnsi="Arial" w:cs="Arial"/>
          <w:color w:val="4472C4" w:themeColor="accent1"/>
          <w:sz w:val="22"/>
        </w:rPr>
        <w:t>FcSGQM</w:t>
      </w:r>
      <w:proofErr w:type="spellEnd"/>
      <w:r w:rsidRPr="00EA68B4">
        <w:rPr>
          <w:rFonts w:ascii="Arial" w:hAnsi="Arial" w:cs="Arial"/>
          <w:color w:val="4472C4" w:themeColor="accent1"/>
          <w:sz w:val="22"/>
          <w:vertAlign w:val="subscript"/>
        </w:rPr>
        <w:t xml:space="preserve"> j</w:t>
      </w:r>
      <w:r w:rsidRPr="00EA68B4">
        <w:rPr>
          <w:rFonts w:ascii="Arial" w:hAnsi="Arial" w:cs="Arial"/>
          <w:color w:val="4472C4" w:themeColor="accent1"/>
          <w:sz w:val="22"/>
        </w:rPr>
        <w:t xml:space="preserve"> – refers to the forecast of the Gross Demand BM Unit Volume for Settlement Period j</w:t>
      </w:r>
    </w:p>
    <w:p w14:paraId="36548FD5" w14:textId="77777777" w:rsidR="00D42AFF" w:rsidRPr="00EA68B4" w:rsidRDefault="00D42AFF" w:rsidP="00D42AFF">
      <w:pPr>
        <w:ind w:left="1440"/>
        <w:jc w:val="both"/>
        <w:rPr>
          <w:rFonts w:ascii="Arial" w:hAnsi="Arial" w:cs="Arial"/>
          <w:color w:val="4472C4" w:themeColor="accent1"/>
          <w:sz w:val="22"/>
        </w:rPr>
      </w:pPr>
    </w:p>
    <w:p w14:paraId="651EBB83" w14:textId="77777777" w:rsidR="00D42AFF" w:rsidRPr="00D42AFF" w:rsidRDefault="00D42AFF" w:rsidP="00D42AFF">
      <w:pPr>
        <w:pStyle w:val="Heading2"/>
        <w:rPr>
          <w:rFonts w:ascii="Arial" w:hAnsi="Arial" w:cs="Arial"/>
          <w:sz w:val="24"/>
          <w:szCs w:val="24"/>
        </w:rPr>
      </w:pPr>
      <w:r w:rsidRPr="00D42AFF">
        <w:rPr>
          <w:rFonts w:ascii="Arial" w:hAnsi="Arial" w:cs="Arial"/>
          <w:sz w:val="24"/>
          <w:szCs w:val="24"/>
        </w:rPr>
        <w:t>Calculation of a BSUoS Liable User’s charge</w:t>
      </w:r>
    </w:p>
    <w:p w14:paraId="670C8853" w14:textId="77777777" w:rsidR="00D42AFF" w:rsidRPr="006A0994" w:rsidRDefault="00D42AFF" w:rsidP="00D42AFF">
      <w:pPr>
        <w:ind w:left="1440"/>
        <w:jc w:val="both"/>
        <w:rPr>
          <w:rFonts w:ascii="Arial" w:hAnsi="Arial" w:cs="Arial"/>
          <w:sz w:val="22"/>
        </w:rPr>
      </w:pPr>
    </w:p>
    <w:p w14:paraId="66D6BC08" w14:textId="77777777" w:rsidR="00D42AFF" w:rsidRPr="0059657F" w:rsidRDefault="00D42AFF" w:rsidP="00D42AFF">
      <w:pPr>
        <w:pStyle w:val="1"/>
        <w:ind w:left="1627"/>
        <w:jc w:val="both"/>
      </w:pPr>
    </w:p>
    <w:p w14:paraId="56F85D9D" w14:textId="77777777" w:rsidR="00D42AFF" w:rsidRPr="0059657F" w:rsidRDefault="00D42AFF" w:rsidP="00D42AFF">
      <w:pPr>
        <w:pStyle w:val="1"/>
        <w:numPr>
          <w:ilvl w:val="0"/>
          <w:numId w:val="3"/>
        </w:numPr>
        <w:jc w:val="both"/>
      </w:pPr>
      <w:r w:rsidRPr="0059657F">
        <w:t>A Supplier BM Unit’s and Exempt Export BM Unit’s charge is calculated by the following formula:</w:t>
      </w:r>
    </w:p>
    <w:p w14:paraId="112C40A8" w14:textId="77777777" w:rsidR="00D42AFF" w:rsidRPr="0059657F" w:rsidRDefault="00D42AFF" w:rsidP="00D42AFF">
      <w:pPr>
        <w:pStyle w:val="1"/>
        <w:ind w:left="1627"/>
        <w:jc w:val="both"/>
      </w:pPr>
    </w:p>
    <w:p w14:paraId="69B920BB" w14:textId="77777777" w:rsidR="00D42AFF" w:rsidRDefault="00D42AFF" w:rsidP="00D42AFF">
      <w:pPr>
        <w:pStyle w:val="1"/>
        <w:ind w:left="1627"/>
        <w:jc w:val="both"/>
      </w:pPr>
      <w:r w:rsidRPr="0059657F">
        <w:rPr>
          <w:noProof/>
          <w:lang w:eastAsia="en-GB"/>
        </w:rPr>
        <w:drawing>
          <wp:inline distT="0" distB="0" distL="0" distR="0" wp14:anchorId="0FD3629F" wp14:editId="3B7B2BBA">
            <wp:extent cx="2571750" cy="457200"/>
            <wp:effectExtent l="0" t="0" r="0" b="0"/>
            <wp:docPr id="1121566921" name="Picture 11215669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298C82" w14:textId="77777777" w:rsidR="00D42AFF" w:rsidRPr="00EA68B4" w:rsidRDefault="00D42AFF" w:rsidP="00D42AFF">
      <w:pPr>
        <w:pStyle w:val="1"/>
        <w:ind w:left="1627"/>
        <w:jc w:val="both"/>
        <w:rPr>
          <w:color w:val="4472C4" w:themeColor="accent1"/>
        </w:rPr>
      </w:pPr>
      <w:proofErr w:type="spellStart"/>
      <w:r w:rsidRPr="00EA68B4">
        <w:rPr>
          <w:color w:val="4472C4" w:themeColor="accent1"/>
        </w:rPr>
        <w:t>BSUoSTOT</w:t>
      </w:r>
      <w:proofErr w:type="spellEnd"/>
      <w:r w:rsidRPr="00EA68B4">
        <w:rPr>
          <w:color w:val="4472C4" w:themeColor="accent1"/>
        </w:rPr>
        <w:t xml:space="preserve"> – Total BSUoS Liable User’s charge</w:t>
      </w:r>
    </w:p>
    <w:p w14:paraId="1B004A9E" w14:textId="77777777" w:rsidR="00D42AFF" w:rsidRPr="0059657F" w:rsidRDefault="00D42AFF" w:rsidP="00D42AFF">
      <w:pPr>
        <w:pStyle w:val="1"/>
        <w:ind w:left="1627"/>
        <w:jc w:val="both"/>
      </w:pPr>
    </w:p>
    <w:p w14:paraId="753B5EBF" w14:textId="77777777" w:rsidR="00D42AFF" w:rsidRPr="0059657F" w:rsidRDefault="00D42AFF" w:rsidP="00D42AFF">
      <w:pPr>
        <w:pStyle w:val="1"/>
        <w:ind w:left="1627"/>
        <w:jc w:val="both"/>
      </w:pPr>
    </w:p>
    <w:p w14:paraId="01AEACF1" w14:textId="77777777" w:rsidR="00D42AFF" w:rsidRPr="0059657F" w:rsidRDefault="00D42AFF" w:rsidP="00D42AFF">
      <w:pPr>
        <w:pStyle w:val="1"/>
        <w:numPr>
          <w:ilvl w:val="0"/>
          <w:numId w:val="3"/>
        </w:numPr>
        <w:jc w:val="both"/>
      </w:pPr>
      <w:r w:rsidRPr="0059657F">
        <w:t>All other BSUoS liable customers with a Bilateral Agreement with The Company will have their charge calculated by the following formula:</w:t>
      </w:r>
    </w:p>
    <w:p w14:paraId="252D4E3A" w14:textId="77777777" w:rsidR="00D42AFF" w:rsidRPr="0059657F" w:rsidRDefault="00D42AFF" w:rsidP="00D42AFF">
      <w:pPr>
        <w:pStyle w:val="1"/>
        <w:ind w:left="1627"/>
        <w:jc w:val="both"/>
      </w:pPr>
    </w:p>
    <w:p w14:paraId="561ED526" w14:textId="77777777" w:rsidR="00D42AFF" w:rsidRPr="0059657F" w:rsidRDefault="00D42AFF" w:rsidP="00D42AFF">
      <w:pPr>
        <w:pStyle w:val="1"/>
        <w:ind w:left="1627"/>
        <w:jc w:val="both"/>
      </w:pPr>
      <w:r w:rsidRPr="0059657F">
        <w:rPr>
          <w:noProof/>
          <w:lang w:eastAsia="en-GB"/>
        </w:rPr>
        <w:drawing>
          <wp:inline distT="0" distB="0" distL="0" distR="0" wp14:anchorId="7F4960B9" wp14:editId="3D109776">
            <wp:extent cx="2451100" cy="431800"/>
            <wp:effectExtent l="0" t="0" r="6350" b="6350"/>
            <wp:docPr id="1121566922" name="Picture 11215669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657F">
        <w:rPr>
          <w:rFonts w:ascii="Arial" w:hAnsi="Arial"/>
        </w:rPr>
        <w:tab/>
      </w:r>
    </w:p>
    <w:p w14:paraId="77E3E79F" w14:textId="77777777" w:rsidR="00D42AFF" w:rsidRPr="00D42AFF" w:rsidRDefault="00D42AFF" w:rsidP="00D42AFF">
      <w:pPr>
        <w:rPr>
          <w:lang w:eastAsia="en-US"/>
        </w:rPr>
      </w:pPr>
    </w:p>
    <w:p w14:paraId="7D39B046" w14:textId="77777777" w:rsidR="00D42AFF" w:rsidRPr="00D42AFF" w:rsidRDefault="00D42AFF" w:rsidP="00D42AFF">
      <w:pPr>
        <w:rPr>
          <w:lang w:eastAsia="en-US"/>
        </w:rPr>
      </w:pPr>
    </w:p>
    <w:p w14:paraId="292C74D4" w14:textId="77777777" w:rsidR="00C22F8F" w:rsidRDefault="00C22F8F"/>
    <w:sectPr w:rsidR="00C22F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5D66E1"/>
    <w:multiLevelType w:val="hybridMultilevel"/>
    <w:tmpl w:val="37ECA0A6"/>
    <w:lvl w:ilvl="0" w:tplc="8F622B8E">
      <w:start w:val="1"/>
      <w:numFmt w:val="decimal"/>
      <w:lvlText w:val="14.29.%1"/>
      <w:lvlJc w:val="left"/>
      <w:pPr>
        <w:tabs>
          <w:tab w:val="num" w:pos="720"/>
        </w:tabs>
        <w:ind w:left="1627" w:hanging="907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45F3ACD"/>
    <w:multiLevelType w:val="singleLevel"/>
    <w:tmpl w:val="19F8B772"/>
    <w:lvl w:ilvl="0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" w15:restartNumberingAfterBreak="0">
    <w:nsid w:val="61C6416F"/>
    <w:multiLevelType w:val="hybridMultilevel"/>
    <w:tmpl w:val="25E4E45E"/>
    <w:lvl w:ilvl="0" w:tplc="809A1492">
      <w:start w:val="1"/>
      <w:numFmt w:val="decimal"/>
      <w:lvlText w:val="14.30.%1"/>
      <w:lvlJc w:val="left"/>
      <w:pPr>
        <w:tabs>
          <w:tab w:val="num" w:pos="720"/>
        </w:tabs>
        <w:ind w:left="1627" w:hanging="907"/>
      </w:pPr>
      <w:rPr>
        <w:rFonts w:ascii="Arial" w:hAnsi="Arial" w:hint="default"/>
        <w:b w:val="0"/>
        <w:i w:val="0"/>
        <w:color w:val="000000"/>
        <w:sz w:val="22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AFF"/>
    <w:rsid w:val="002D3BA5"/>
    <w:rsid w:val="00C22F8F"/>
    <w:rsid w:val="00D42AFF"/>
    <w:rsid w:val="00EA6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13D08"/>
  <w15:chartTrackingRefBased/>
  <w15:docId w15:val="{40892E60-4882-44E7-BD8C-40A46F179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2A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D42AFF"/>
    <w:pPr>
      <w:keepNext/>
      <w:tabs>
        <w:tab w:val="left" w:pos="810"/>
        <w:tab w:val="left" w:pos="1620"/>
        <w:tab w:val="left" w:pos="2268"/>
        <w:tab w:val="left" w:pos="6390"/>
      </w:tabs>
      <w:jc w:val="both"/>
      <w:outlineLvl w:val="0"/>
    </w:pPr>
    <w:rPr>
      <w:rFonts w:ascii="Arial Bold" w:hAnsi="Arial Bold"/>
      <w:b/>
      <w:color w:val="000080"/>
      <w:sz w:val="30"/>
      <w:szCs w:val="20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2AF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42AFF"/>
    <w:rPr>
      <w:rFonts w:ascii="Arial Bold" w:eastAsia="Times New Roman" w:hAnsi="Arial Bold" w:cs="Times New Roman"/>
      <w:b/>
      <w:color w:val="000080"/>
      <w:sz w:val="30"/>
      <w:szCs w:val="20"/>
    </w:rPr>
  </w:style>
  <w:style w:type="paragraph" w:customStyle="1" w:styleId="1">
    <w:name w:val="1"/>
    <w:aliases w:val="2,3"/>
    <w:basedOn w:val="Normal"/>
    <w:uiPriority w:val="99"/>
    <w:rsid w:val="00D42AFF"/>
    <w:rPr>
      <w:rFonts w:ascii="Arial (W1)" w:hAnsi="Arial (W1)"/>
      <w:sz w:val="22"/>
      <w:szCs w:val="20"/>
      <w:lang w:eastAsia="en-US"/>
    </w:rPr>
  </w:style>
  <w:style w:type="paragraph" w:styleId="Date">
    <w:name w:val="Date"/>
    <w:basedOn w:val="Normal"/>
    <w:next w:val="Normal"/>
    <w:link w:val="DateChar"/>
    <w:rsid w:val="00D42AFF"/>
    <w:rPr>
      <w:rFonts w:ascii="Arial" w:hAnsi="Arial"/>
      <w:sz w:val="22"/>
      <w:szCs w:val="20"/>
      <w:lang w:eastAsia="en-US"/>
    </w:rPr>
  </w:style>
  <w:style w:type="character" w:customStyle="1" w:styleId="DateChar">
    <w:name w:val="Date Char"/>
    <w:basedOn w:val="DefaultParagraphFont"/>
    <w:link w:val="Date"/>
    <w:rsid w:val="00D42AFF"/>
    <w:rPr>
      <w:rFonts w:ascii="Arial" w:eastAsia="Times New Roman" w:hAnsi="Arial" w:cs="Times New Roman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2AF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2AF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AFF"/>
    <w:rPr>
      <w:rFonts w:ascii="Segoe UI" w:eastAsia="Times New Roman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2" ma:contentTypeDescription="Create a new document." ma:contentTypeScope="" ma:versionID="2474c7f4549ad8682880aca525ed79ee">
  <xsd:schema xmlns:xsd="http://www.w3.org/2001/XMLSchema" xmlns:xs="http://www.w3.org/2001/XMLSchema" xmlns:p="http://schemas.microsoft.com/office/2006/metadata/properties" xmlns:ns2="f71abe4e-f5ff-49cd-8eff-5f4949acc510" xmlns:ns3="97b6fe81-1556-4112-94ca-31043ca39b71" targetNamespace="http://schemas.microsoft.com/office/2006/metadata/properties" ma:root="true" ma:fieldsID="496125ef1f1b50d60b2c8ba73c0e8f8d" ns2:_="" ns3:_="">
    <xsd:import namespace="f71abe4e-f5ff-49cd-8eff-5f4949acc510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4B7B78-2295-4591-9F92-3CFEF3DF03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148A7E-D2E3-4F32-A713-F3BF64CFE1B3}"/>
</file>

<file path=customXml/itemProps3.xml><?xml version="1.0" encoding="utf-8"?>
<ds:datastoreItem xmlns:ds="http://schemas.openxmlformats.org/officeDocument/2006/customXml" ds:itemID="{37B525D4-A8AD-45D7-B77D-303F097EF43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Birkner (ESO), Katharina</dc:creator>
  <cp:keywords/>
  <dc:description/>
  <cp:lastModifiedBy>Birkner (ESO), Katharina</cp:lastModifiedBy>
  <cp:revision>3</cp:revision>
  <dcterms:created xsi:type="dcterms:W3CDTF">2021-04-28T15:35:00Z</dcterms:created>
  <dcterms:modified xsi:type="dcterms:W3CDTF">2021-04-29T07:02:00Z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0x010100095E1BDC5029614ABF43223A464FD248</vt:lpwstr>
  </property>
</Properties>
</file>